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5DF" w:rsidRDefault="006F63D3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臺北市</w:t>
      </w:r>
      <w:r>
        <w:rPr>
          <w:rFonts w:ascii="標楷體" w:eastAsia="標楷體" w:hAnsi="標楷體" w:cs="標楷體"/>
          <w:b/>
          <w:sz w:val="32"/>
          <w:szCs w:val="32"/>
        </w:rPr>
        <w:t>112</w:t>
      </w:r>
      <w:r>
        <w:rPr>
          <w:rFonts w:ascii="標楷體" w:eastAsia="標楷體" w:hAnsi="標楷體" w:cs="標楷體"/>
          <w:b/>
          <w:sz w:val="32"/>
          <w:szCs w:val="32"/>
        </w:rPr>
        <w:t>學年度第</w:t>
      </w:r>
      <w:r>
        <w:rPr>
          <w:rFonts w:ascii="標楷體" w:eastAsia="標楷體" w:hAnsi="標楷體" w:cs="標楷體"/>
          <w:b/>
          <w:sz w:val="32"/>
          <w:szCs w:val="32"/>
        </w:rPr>
        <w:t>1</w:t>
      </w:r>
      <w:r>
        <w:rPr>
          <w:rFonts w:ascii="標楷體" w:eastAsia="標楷體" w:hAnsi="標楷體" w:cs="標楷體"/>
          <w:b/>
          <w:sz w:val="32"/>
          <w:szCs w:val="32"/>
        </w:rPr>
        <w:t>學期藝術與人文領域教師專業學習社群成效報告表</w:t>
      </w:r>
    </w:p>
    <w:p w:rsidR="004455DF" w:rsidRDefault="006F63D3">
      <w:pPr>
        <w:jc w:val="right"/>
      </w:pPr>
      <w:r>
        <w:rPr>
          <w:rFonts w:ascii="標楷體" w:eastAsia="標楷體" w:hAnsi="標楷體" w:cs="標楷體"/>
        </w:rPr>
        <w:t xml:space="preserve">           </w:t>
      </w:r>
    </w:p>
    <w:tbl>
      <w:tblPr>
        <w:tblStyle w:val="a5"/>
        <w:tblW w:w="1018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448"/>
        <w:gridCol w:w="7740"/>
      </w:tblGrid>
      <w:tr w:rsidR="004455DF">
        <w:trPr>
          <w:trHeight w:val="45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DF" w:rsidRDefault="006F63D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學校名稱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DF" w:rsidRDefault="006F63D3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臺北市立忠孝國中</w:t>
            </w:r>
          </w:p>
        </w:tc>
      </w:tr>
      <w:tr w:rsidR="004455DF">
        <w:trPr>
          <w:trHeight w:val="45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DF" w:rsidRDefault="006F63D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學習領域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DF" w:rsidRDefault="006F63D3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藝術與人文領域</w:t>
            </w:r>
          </w:p>
        </w:tc>
      </w:tr>
      <w:tr w:rsidR="004455DF">
        <w:trPr>
          <w:trHeight w:val="45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DF" w:rsidRDefault="006F63D3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領域人數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DF" w:rsidRDefault="006F63D3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6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人</w:t>
            </w:r>
          </w:p>
        </w:tc>
      </w:tr>
      <w:tr w:rsidR="004455DF">
        <w:trPr>
          <w:trHeight w:val="265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DF" w:rsidRDefault="006F63D3">
            <w:pPr>
              <w:jc w:val="center"/>
              <w:rPr>
                <w:rFonts w:ascii="標楷體" w:eastAsia="標楷體" w:hAnsi="標楷體" w:cs="標楷體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共同備課主題</w:t>
            </w:r>
            <w:proofErr w:type="gramEnd"/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DF" w:rsidRDefault="006F63D3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教師專業成長分享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：領域各項工作安排及觀課時程模式討論</w:t>
            </w:r>
          </w:p>
          <w:p w:rsidR="004455DF" w:rsidRDefault="006F63D3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教師專業成長分享二：古典時期音樂領域藝術分享</w:t>
            </w:r>
          </w:p>
          <w:p w:rsidR="004455DF" w:rsidRDefault="006F63D3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教師專業成長分享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三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：藝術與人文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領域共備分享</w:t>
            </w:r>
            <w:proofErr w:type="gramEnd"/>
          </w:p>
          <w:p w:rsidR="004455DF" w:rsidRDefault="006F63D3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教師專業成長分享四：藝術與人文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領域觀課活動</w:t>
            </w:r>
            <w:proofErr w:type="gramEnd"/>
          </w:p>
          <w:p w:rsidR="004455DF" w:rsidRDefault="006F63D3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教師專業成長分享五：藝術與人文領域課後議課</w:t>
            </w:r>
          </w:p>
          <w:p w:rsidR="004455DF" w:rsidRDefault="006F63D3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教師專業成長分享六：話劇工作坊分享</w:t>
            </w:r>
          </w:p>
          <w:p w:rsidR="004455DF" w:rsidRDefault="006F63D3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教師專業成長分享七：生涯發展融入表演藝術之教學分享</w:t>
            </w:r>
          </w:p>
          <w:p w:rsidR="004455DF" w:rsidRDefault="006F63D3">
            <w:pPr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教師專業成長分享八：領域課程回顧與資料彙整</w:t>
            </w:r>
          </w:p>
        </w:tc>
      </w:tr>
      <w:tr w:rsidR="004455DF">
        <w:trPr>
          <w:trHeight w:val="212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DF" w:rsidRDefault="006F63D3">
            <w:pPr>
              <w:jc w:val="center"/>
            </w:pPr>
            <w:r>
              <w:rPr>
                <w:rFonts w:ascii="標楷體" w:eastAsia="標楷體" w:hAnsi="標楷體" w:cs="標楷體"/>
              </w:rPr>
              <w:t>量化呈現辦理成效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DF" w:rsidRDefault="006F63D3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社群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共同備課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次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：共計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12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人次</w:t>
            </w:r>
          </w:p>
          <w:p w:rsidR="004455DF" w:rsidRDefault="006F63D3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同儕觀課次數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次</w:t>
            </w:r>
          </w:p>
          <w:p w:rsidR="004455DF" w:rsidRDefault="006F63D3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教師專業成長分享：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次</w:t>
            </w:r>
          </w:p>
          <w:p w:rsidR="004455DF" w:rsidRDefault="006F63D3">
            <w:pPr>
              <w:jc w:val="both"/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共備教案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My best</w:t>
            </w:r>
          </w:p>
          <w:p w:rsidR="004455DF" w:rsidRDefault="006F63D3">
            <w:pPr>
              <w:spacing w:line="276" w:lineRule="auto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共備課程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實施對象：七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九年級</w:t>
            </w:r>
          </w:p>
        </w:tc>
      </w:tr>
      <w:tr w:rsidR="004455DF">
        <w:trPr>
          <w:trHeight w:val="43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DF" w:rsidRDefault="006F63D3">
            <w:pPr>
              <w:jc w:val="center"/>
            </w:pPr>
            <w:r>
              <w:rPr>
                <w:rFonts w:ascii="標楷體" w:eastAsia="標楷體" w:hAnsi="標楷體" w:cs="標楷體"/>
              </w:rPr>
              <w:t>質性說明辦理成效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DF" w:rsidRDefault="006F63D3">
            <w:pPr>
              <w:numPr>
                <w:ilvl w:val="1"/>
                <w:numId w:val="1"/>
              </w:numPr>
              <w:tabs>
                <w:tab w:val="left" w:pos="1440"/>
              </w:tabs>
              <w:ind w:left="558" w:hanging="454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共同備課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：</w:t>
            </w:r>
          </w:p>
          <w:p w:rsidR="004455DF" w:rsidRDefault="006F63D3">
            <w:pPr>
              <w:ind w:firstLine="26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讀劇在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青少年中是一件較難上手的課程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,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學習選擇劇本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劇本解析腳色分析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台詞情緒強調搭設鷹架</w:t>
            </w:r>
            <w:r>
              <w:rPr>
                <w:rFonts w:ascii="PMingLiu" w:eastAsia="PMingLiu" w:hAnsi="PMingLiu" w:cs="PMingLiu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經由藝術活動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,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用於日常生活中</w:t>
            </w:r>
          </w:p>
          <w:p w:rsidR="004455DF" w:rsidRDefault="004455DF">
            <w:pPr>
              <w:ind w:firstLine="260"/>
              <w:jc w:val="both"/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4455DF" w:rsidRDefault="006F63D3">
            <w:pPr>
              <w:numPr>
                <w:ilvl w:val="1"/>
                <w:numId w:val="1"/>
              </w:numPr>
              <w:tabs>
                <w:tab w:val="left" w:pos="529"/>
                <w:tab w:val="left" w:pos="1440"/>
              </w:tabs>
              <w:ind w:left="813" w:hanging="709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教師專業成長分享：</w:t>
            </w:r>
          </w:p>
          <w:p w:rsidR="004455DF" w:rsidRDefault="006F63D3">
            <w:pPr>
              <w:numPr>
                <w:ilvl w:val="2"/>
                <w:numId w:val="1"/>
              </w:numPr>
              <w:ind w:left="954" w:hanging="425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透過領域會議討論本校的學校願景、學生圖像與素養指標，讓領域成員了解學校課程發展工作，並共同進一份心力。</w:t>
            </w:r>
          </w:p>
          <w:p w:rsidR="004455DF" w:rsidRDefault="006F63D3">
            <w:pPr>
              <w:numPr>
                <w:ilvl w:val="2"/>
                <w:numId w:val="1"/>
              </w:numPr>
              <w:ind w:left="954" w:hanging="425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針對藝術領域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課程進行討論，設計適宜和需與學校活動配合的課程。</w:t>
            </w:r>
          </w:p>
          <w:p w:rsidR="004455DF" w:rsidRDefault="006F63D3">
            <w:pPr>
              <w:numPr>
                <w:ilvl w:val="2"/>
                <w:numId w:val="1"/>
              </w:numPr>
              <w:ind w:left="954" w:hanging="425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透過領域夥伴研習回校分享，提供藝術領域跟別的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領域共備的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經驗，讓藝術與生活元素結合，幫助學生學習知識技能與態度。</w:t>
            </w:r>
          </w:p>
        </w:tc>
      </w:tr>
      <w:tr w:rsidR="004455DF">
        <w:trPr>
          <w:trHeight w:val="1392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DF" w:rsidRDefault="006F63D3">
            <w:pPr>
              <w:ind w:left="480" w:hanging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未來展望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DF" w:rsidRDefault="006F63D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依據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新課綱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精神與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藝術領綱內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容，實施適宜的課程、進行評量，並配合學校活動，融入藝術課程教學，讓本校學生可以藉由課程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適性楊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才、從藝術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學習中陶養</w:t>
            </w:r>
            <w:proofErr w:type="gramEnd"/>
            <w:r>
              <w:rPr>
                <w:rFonts w:ascii="標楷體" w:eastAsia="標楷體" w:hAnsi="標楷體" w:cs="標楷體"/>
                <w:sz w:val="26"/>
                <w:szCs w:val="26"/>
              </w:rPr>
              <w:t>身心靈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,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活化生活。</w:t>
            </w:r>
          </w:p>
        </w:tc>
      </w:tr>
      <w:tr w:rsidR="004455DF">
        <w:trPr>
          <w:trHeight w:val="981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DF" w:rsidRDefault="006F63D3">
            <w:pPr>
              <w:ind w:left="480" w:hanging="480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附件資料</w:t>
            </w:r>
          </w:p>
        </w:tc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55DF" w:rsidRDefault="006F63D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藝術與人文領域　領域紀錄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簿</w:t>
            </w:r>
            <w:proofErr w:type="gramEnd"/>
          </w:p>
          <w:p w:rsidR="004455DF" w:rsidRDefault="006F63D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附件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研習課程</w:t>
            </w:r>
            <w:proofErr w:type="gramStart"/>
            <w:r>
              <w:rPr>
                <w:rFonts w:ascii="標楷體" w:eastAsia="標楷體" w:hAnsi="標楷體" w:cs="標楷體"/>
                <w:sz w:val="26"/>
                <w:szCs w:val="26"/>
              </w:rPr>
              <w:t>紀錄照紀錄照</w:t>
            </w:r>
            <w:proofErr w:type="gramEnd"/>
          </w:p>
          <w:p w:rsidR="004455DF" w:rsidRDefault="006F63D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26"/>
                <w:szCs w:val="26"/>
              </w:rPr>
              <w:t>附件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 w:cs="標楷體"/>
                <w:sz w:val="26"/>
                <w:szCs w:val="26"/>
              </w:rPr>
              <w:t>學生上課及作品</w:t>
            </w:r>
          </w:p>
        </w:tc>
      </w:tr>
    </w:tbl>
    <w:p w:rsidR="004455DF" w:rsidRDefault="004455DF">
      <w:pPr>
        <w:ind w:firstLine="320"/>
        <w:jc w:val="both"/>
        <w:rPr>
          <w:rFonts w:ascii="標楷體" w:eastAsia="標楷體" w:hAnsi="標楷體" w:cs="標楷體"/>
          <w:sz w:val="32"/>
          <w:szCs w:val="32"/>
        </w:rPr>
      </w:pPr>
    </w:p>
    <w:p w:rsidR="004455DF" w:rsidRDefault="006F63D3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1.</w:t>
      </w:r>
      <w:r>
        <w:rPr>
          <w:rFonts w:ascii="標楷體" w:eastAsia="標楷體" w:hAnsi="標楷體" w:cs="標楷體"/>
          <w:sz w:val="32"/>
          <w:szCs w:val="32"/>
        </w:rPr>
        <w:t>研習課程紀錄照</w:t>
      </w:r>
      <w:r>
        <w:rPr>
          <w:rFonts w:ascii="標楷體" w:eastAsia="標楷體" w:hAnsi="標楷體" w:cs="標楷體"/>
          <w:sz w:val="28"/>
          <w:szCs w:val="28"/>
        </w:rPr>
        <w:t xml:space="preserve">       </w:t>
      </w:r>
      <w:r>
        <w:rPr>
          <w:rFonts w:ascii="標楷體" w:eastAsia="標楷體" w:hAnsi="標楷體" w:cs="標楷體"/>
          <w:noProof/>
          <w:sz w:val="28"/>
          <w:szCs w:val="28"/>
        </w:rPr>
        <w:drawing>
          <wp:inline distT="0" distB="0" distL="0" distR="0">
            <wp:extent cx="3872584" cy="2903127"/>
            <wp:effectExtent l="0" t="0" r="0" b="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72584" cy="29031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標楷體"/>
          <w:noProof/>
          <w:sz w:val="28"/>
          <w:szCs w:val="28"/>
        </w:rPr>
        <w:drawing>
          <wp:inline distT="0" distB="0" distL="0" distR="0">
            <wp:extent cx="2803024" cy="4983480"/>
            <wp:effectExtent l="0" t="0" r="0" b="0"/>
            <wp:docPr id="6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3024" cy="49834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標楷體"/>
          <w:noProof/>
          <w:sz w:val="28"/>
          <w:szCs w:val="28"/>
        </w:rPr>
        <w:drawing>
          <wp:inline distT="0" distB="0" distL="0" distR="0">
            <wp:extent cx="2994137" cy="3033997"/>
            <wp:effectExtent l="0" t="0" r="0" b="0"/>
            <wp:docPr id="4" name="image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94137" cy="303399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55DF" w:rsidRDefault="006F63D3">
      <w:pPr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</w:t>
      </w:r>
    </w:p>
    <w:p w:rsidR="004455DF" w:rsidRDefault="004455DF">
      <w:pPr>
        <w:jc w:val="both"/>
        <w:rPr>
          <w:rFonts w:ascii="標楷體" w:eastAsia="標楷體" w:hAnsi="標楷體" w:cs="標楷體"/>
        </w:rPr>
      </w:pPr>
    </w:p>
    <w:p w:rsidR="004455DF" w:rsidRDefault="006F63D3">
      <w:pPr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/>
      </w:r>
      <w:r>
        <w:rPr>
          <w:rFonts w:ascii="標楷體" w:eastAsia="標楷體" w:hAnsi="標楷體" w:cs="標楷體"/>
          <w:noProof/>
        </w:rPr>
        <w:lastRenderedPageBreak/>
        <w:drawing>
          <wp:inline distT="0" distB="0" distL="0" distR="0">
            <wp:extent cx="4910354" cy="3681104"/>
            <wp:effectExtent l="0" t="0" r="0" b="0"/>
            <wp:docPr id="8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10354" cy="36811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r>
        <w:rPr>
          <w:rFonts w:ascii="標楷體" w:eastAsia="標楷體" w:hAnsi="標楷體" w:cs="標楷體"/>
          <w:noProof/>
        </w:rPr>
        <w:drawing>
          <wp:inline distT="0" distB="0" distL="0" distR="0">
            <wp:extent cx="4896449" cy="3837421"/>
            <wp:effectExtent l="0" t="0" r="0" b="0"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96449" cy="38374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End w:id="0"/>
    </w:p>
    <w:p w:rsidR="004455DF" w:rsidRDefault="004455DF">
      <w:pPr>
        <w:jc w:val="both"/>
      </w:pPr>
    </w:p>
    <w:p w:rsidR="004455DF" w:rsidRDefault="004455DF">
      <w:pPr>
        <w:jc w:val="both"/>
        <w:rPr>
          <w:rFonts w:ascii="標楷體" w:eastAsia="標楷體" w:hAnsi="標楷體" w:cs="標楷體"/>
        </w:rPr>
      </w:pPr>
    </w:p>
    <w:p w:rsidR="004455DF" w:rsidRDefault="004455DF">
      <w:pPr>
        <w:jc w:val="both"/>
        <w:rPr>
          <w:rFonts w:ascii="標楷體" w:eastAsia="標楷體" w:hAnsi="標楷體" w:cs="標楷體"/>
          <w:sz w:val="28"/>
          <w:szCs w:val="28"/>
        </w:rPr>
      </w:pPr>
    </w:p>
    <w:p w:rsidR="004455DF" w:rsidRDefault="004455DF">
      <w:pPr>
        <w:jc w:val="both"/>
        <w:rPr>
          <w:rFonts w:ascii="標楷體" w:eastAsia="標楷體" w:hAnsi="標楷體" w:cs="標楷體"/>
          <w:sz w:val="28"/>
          <w:szCs w:val="28"/>
        </w:rPr>
      </w:pPr>
    </w:p>
    <w:p w:rsidR="006F63D3" w:rsidRDefault="006F63D3">
      <w:pPr>
        <w:jc w:val="both"/>
        <w:rPr>
          <w:rFonts w:ascii="標楷體" w:eastAsia="標楷體" w:hAnsi="標楷體" w:cs="標楷體"/>
          <w:sz w:val="28"/>
          <w:szCs w:val="28"/>
        </w:rPr>
      </w:pPr>
    </w:p>
    <w:p w:rsidR="006F63D3" w:rsidRDefault="006F63D3">
      <w:pPr>
        <w:jc w:val="both"/>
        <w:rPr>
          <w:rFonts w:ascii="標楷體" w:eastAsia="標楷體" w:hAnsi="標楷體" w:cs="標楷體"/>
          <w:sz w:val="28"/>
          <w:szCs w:val="28"/>
        </w:rPr>
      </w:pPr>
    </w:p>
    <w:p w:rsidR="006F63D3" w:rsidRDefault="006F63D3">
      <w:pPr>
        <w:jc w:val="both"/>
        <w:rPr>
          <w:rFonts w:ascii="標楷體" w:eastAsia="標楷體" w:hAnsi="標楷體" w:cs="標楷體"/>
          <w:sz w:val="28"/>
          <w:szCs w:val="28"/>
        </w:rPr>
      </w:pPr>
    </w:p>
    <w:p w:rsidR="006F63D3" w:rsidRDefault="006F63D3">
      <w:pPr>
        <w:jc w:val="both"/>
        <w:rPr>
          <w:rFonts w:ascii="標楷體" w:eastAsia="標楷體" w:hAnsi="標楷體" w:cs="標楷體"/>
          <w:sz w:val="28"/>
          <w:szCs w:val="28"/>
        </w:rPr>
      </w:pPr>
    </w:p>
    <w:p w:rsidR="006F63D3" w:rsidRDefault="006F63D3">
      <w:pPr>
        <w:jc w:val="both"/>
        <w:rPr>
          <w:rFonts w:ascii="標楷體" w:eastAsia="標楷體" w:hAnsi="標楷體" w:cs="標楷體" w:hint="eastAsia"/>
          <w:sz w:val="28"/>
          <w:szCs w:val="28"/>
        </w:rPr>
      </w:pPr>
    </w:p>
    <w:p w:rsidR="004455DF" w:rsidRDefault="004455DF">
      <w:pPr>
        <w:jc w:val="both"/>
        <w:rPr>
          <w:rFonts w:ascii="標楷體" w:eastAsia="標楷體" w:hAnsi="標楷體" w:cs="標楷體"/>
          <w:sz w:val="28"/>
          <w:szCs w:val="28"/>
        </w:rPr>
      </w:pPr>
    </w:p>
    <w:p w:rsidR="004455DF" w:rsidRDefault="006F63D3">
      <w:pPr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lastRenderedPageBreak/>
        <w:t>2</w:t>
      </w:r>
      <w:r>
        <w:rPr>
          <w:rFonts w:ascii="標楷體" w:eastAsia="標楷體" w:hAnsi="標楷體" w:cs="標楷體"/>
          <w:sz w:val="32"/>
          <w:szCs w:val="32"/>
        </w:rPr>
        <w:t>學生上課活動及作品</w:t>
      </w:r>
      <w:r>
        <w:rPr>
          <w:rFonts w:ascii="標楷體" w:eastAsia="標楷體" w:hAnsi="標楷體" w:cs="標楷體"/>
          <w:sz w:val="32"/>
          <w:szCs w:val="32"/>
        </w:rPr>
        <w:t xml:space="preserve">   </w:t>
      </w:r>
    </w:p>
    <w:p w:rsidR="004455DF" w:rsidRDefault="006F63D3">
      <w:pPr>
        <w:ind w:firstLine="32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noProof/>
          <w:sz w:val="32"/>
          <w:szCs w:val="32"/>
        </w:rPr>
        <w:drawing>
          <wp:inline distT="0" distB="0" distL="0" distR="0">
            <wp:extent cx="2558456" cy="2971848"/>
            <wp:effectExtent l="2858" t="0" r="0" b="0"/>
            <wp:docPr id="1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8456" cy="29718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標楷體"/>
          <w:sz w:val="32"/>
          <w:szCs w:val="32"/>
        </w:rPr>
        <w:t xml:space="preserve">    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3467100</wp:posOffset>
            </wp:positionH>
            <wp:positionV relativeFrom="paragraph">
              <wp:posOffset>0</wp:posOffset>
            </wp:positionV>
            <wp:extent cx="3155950" cy="2622550"/>
            <wp:effectExtent l="0" t="0" r="0" b="0"/>
            <wp:wrapSquare wrapText="bothSides" distT="0" distB="0" distL="114300" distR="114300"/>
            <wp:docPr id="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5950" cy="2622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55DF" w:rsidRDefault="006F63D3">
      <w:pPr>
        <w:ind w:firstLine="320"/>
        <w:jc w:val="both"/>
        <w:rPr>
          <w:rFonts w:ascii="標楷體" w:eastAsia="標楷體" w:hAnsi="標楷體" w:cs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101600</wp:posOffset>
            </wp:positionV>
            <wp:extent cx="3340100" cy="2392680"/>
            <wp:effectExtent l="0" t="0" r="0" b="0"/>
            <wp:wrapSquare wrapText="bothSides" distT="0" distB="0" distL="114300" distR="11430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40100" cy="2392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455DF" w:rsidRDefault="006F63D3">
      <w:pPr>
        <w:ind w:firstLine="320"/>
        <w:jc w:val="both"/>
      </w:pPr>
      <w:bookmarkStart w:id="1" w:name="_heading=h.gjdgxs" w:colFirst="0" w:colLast="0"/>
      <w:bookmarkEnd w:id="1"/>
      <w:r>
        <w:br/>
      </w:r>
    </w:p>
    <w:p w:rsidR="004455DF" w:rsidRDefault="004455DF">
      <w:pPr>
        <w:ind w:firstLine="320"/>
        <w:jc w:val="both"/>
        <w:rPr>
          <w:rFonts w:ascii="標楷體" w:eastAsia="標楷體" w:hAnsi="標楷體" w:cs="標楷體"/>
          <w:sz w:val="32"/>
          <w:szCs w:val="32"/>
        </w:rPr>
      </w:pPr>
    </w:p>
    <w:p w:rsidR="004455DF" w:rsidRDefault="004455DF">
      <w:pPr>
        <w:ind w:firstLine="320"/>
        <w:jc w:val="both"/>
        <w:rPr>
          <w:rFonts w:ascii="標楷體" w:eastAsia="標楷體" w:hAnsi="標楷體" w:cs="標楷體"/>
          <w:sz w:val="32"/>
          <w:szCs w:val="32"/>
        </w:rPr>
      </w:pPr>
    </w:p>
    <w:p w:rsidR="004455DF" w:rsidRDefault="004455DF">
      <w:pPr>
        <w:ind w:firstLine="320"/>
        <w:jc w:val="both"/>
        <w:rPr>
          <w:rFonts w:ascii="標楷體" w:eastAsia="標楷體" w:hAnsi="標楷體" w:cs="標楷體"/>
          <w:sz w:val="32"/>
          <w:szCs w:val="32"/>
        </w:rPr>
      </w:pPr>
    </w:p>
    <w:p w:rsidR="004455DF" w:rsidRDefault="004455DF">
      <w:pPr>
        <w:jc w:val="both"/>
        <w:rPr>
          <w:rFonts w:ascii="標楷體" w:eastAsia="標楷體" w:hAnsi="標楷體" w:cs="標楷體"/>
          <w:sz w:val="32"/>
          <w:szCs w:val="32"/>
        </w:rPr>
      </w:pPr>
    </w:p>
    <w:p w:rsidR="004455DF" w:rsidRDefault="004455DF">
      <w:pPr>
        <w:jc w:val="both"/>
        <w:rPr>
          <w:rFonts w:ascii="標楷體" w:eastAsia="標楷體" w:hAnsi="標楷體" w:cs="標楷體"/>
          <w:sz w:val="32"/>
          <w:szCs w:val="32"/>
        </w:rPr>
      </w:pPr>
    </w:p>
    <w:p w:rsidR="004455DF" w:rsidRDefault="004455DF">
      <w:pPr>
        <w:jc w:val="both"/>
        <w:rPr>
          <w:rFonts w:ascii="標楷體" w:eastAsia="標楷體" w:hAnsi="標楷體" w:cs="標楷體"/>
          <w:sz w:val="32"/>
          <w:szCs w:val="32"/>
        </w:rPr>
      </w:pPr>
    </w:p>
    <w:p w:rsidR="004455DF" w:rsidRDefault="004455DF">
      <w:pPr>
        <w:jc w:val="both"/>
        <w:rPr>
          <w:rFonts w:ascii="標楷體" w:eastAsia="標楷體" w:hAnsi="標楷體" w:cs="標楷體"/>
          <w:sz w:val="32"/>
          <w:szCs w:val="32"/>
        </w:rPr>
      </w:pPr>
    </w:p>
    <w:p w:rsidR="004455DF" w:rsidRDefault="004455DF">
      <w:pPr>
        <w:jc w:val="both"/>
        <w:rPr>
          <w:rFonts w:ascii="標楷體" w:eastAsia="標楷體" w:hAnsi="標楷體" w:cs="標楷體"/>
          <w:sz w:val="32"/>
          <w:szCs w:val="32"/>
        </w:rPr>
      </w:pPr>
    </w:p>
    <w:p w:rsidR="004455DF" w:rsidRDefault="004455DF">
      <w:pPr>
        <w:jc w:val="both"/>
        <w:rPr>
          <w:rFonts w:ascii="標楷體" w:eastAsia="標楷體" w:hAnsi="標楷體" w:cs="標楷體"/>
          <w:sz w:val="32"/>
          <w:szCs w:val="32"/>
        </w:rPr>
      </w:pPr>
    </w:p>
    <w:p w:rsidR="004455DF" w:rsidRDefault="004455DF">
      <w:pPr>
        <w:jc w:val="both"/>
        <w:rPr>
          <w:rFonts w:ascii="標楷體" w:eastAsia="標楷體" w:hAnsi="標楷體" w:cs="標楷體"/>
          <w:sz w:val="32"/>
          <w:szCs w:val="32"/>
        </w:rPr>
      </w:pPr>
    </w:p>
    <w:p w:rsidR="004455DF" w:rsidRDefault="006F63D3">
      <w:pPr>
        <w:jc w:val="both"/>
      </w:pPr>
      <w:r>
        <w:rPr>
          <w:rFonts w:ascii="標楷體" w:eastAsia="標楷體" w:hAnsi="標楷體" w:cs="標楷體"/>
          <w:sz w:val="32"/>
          <w:szCs w:val="32"/>
        </w:rPr>
        <w:t>填表人</w:t>
      </w:r>
      <w:r>
        <w:rPr>
          <w:rFonts w:ascii="標楷體" w:eastAsia="標楷體" w:hAnsi="標楷體" w:cs="標楷體"/>
          <w:sz w:val="32"/>
          <w:szCs w:val="32"/>
        </w:rPr>
        <w:t>:</w:t>
      </w:r>
      <w:r>
        <w:rPr>
          <w:rFonts w:ascii="標楷體" w:eastAsia="標楷體" w:hAnsi="標楷體" w:cs="標楷體"/>
          <w:sz w:val="32"/>
          <w:szCs w:val="32"/>
        </w:rPr>
        <w:t>詹惠晴</w:t>
      </w:r>
      <w:r>
        <w:rPr>
          <w:rFonts w:ascii="標楷體" w:eastAsia="標楷體" w:hAnsi="標楷體" w:cs="標楷體"/>
          <w:sz w:val="32"/>
          <w:szCs w:val="32"/>
        </w:rPr>
        <w:t xml:space="preserve">        </w:t>
      </w:r>
      <w:r>
        <w:rPr>
          <w:rFonts w:ascii="標楷體" w:eastAsia="標楷體" w:hAnsi="標楷體" w:cs="標楷體"/>
          <w:sz w:val="32"/>
          <w:szCs w:val="32"/>
        </w:rPr>
        <w:t>主任</w:t>
      </w:r>
      <w:r>
        <w:rPr>
          <w:rFonts w:ascii="標楷體" w:eastAsia="標楷體" w:hAnsi="標楷體" w:cs="標楷體"/>
          <w:sz w:val="32"/>
          <w:szCs w:val="32"/>
        </w:rPr>
        <w:t>:</w:t>
      </w:r>
      <w:r>
        <w:rPr>
          <w:rFonts w:ascii="標楷體" w:eastAsia="標楷體" w:hAnsi="標楷體" w:cs="標楷體"/>
          <w:sz w:val="32"/>
          <w:szCs w:val="32"/>
        </w:rPr>
        <w:t xml:space="preserve">王曉琪　　　</w:t>
      </w:r>
      <w:r>
        <w:rPr>
          <w:rFonts w:ascii="標楷體" w:eastAsia="標楷體" w:hAnsi="標楷體" w:cs="標楷體"/>
          <w:sz w:val="32"/>
          <w:szCs w:val="32"/>
        </w:rPr>
        <w:t xml:space="preserve">      </w:t>
      </w:r>
      <w:r>
        <w:rPr>
          <w:rFonts w:ascii="標楷體" w:eastAsia="標楷體" w:hAnsi="標楷體" w:cs="標楷體"/>
          <w:sz w:val="32"/>
          <w:szCs w:val="32"/>
        </w:rPr>
        <w:t>校長</w:t>
      </w:r>
      <w:r>
        <w:rPr>
          <w:rFonts w:ascii="標楷體" w:eastAsia="標楷體" w:hAnsi="標楷體" w:cs="標楷體"/>
          <w:sz w:val="32"/>
          <w:szCs w:val="32"/>
        </w:rPr>
        <w:t>:</w:t>
      </w:r>
      <w:r>
        <w:rPr>
          <w:rFonts w:ascii="標楷體" w:eastAsia="標楷體" w:hAnsi="標楷體" w:cs="標楷體"/>
          <w:sz w:val="32"/>
          <w:szCs w:val="32"/>
        </w:rPr>
        <w:t>郭姿秀</w:t>
      </w:r>
    </w:p>
    <w:p w:rsidR="004455DF" w:rsidRDefault="004455DF"/>
    <w:sectPr w:rsidR="004455DF">
      <w:pgSz w:w="11906" w:h="16838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PMingLiu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B145C7"/>
    <w:multiLevelType w:val="multilevel"/>
    <w:tmpl w:val="61BCE9CE"/>
    <w:lvl w:ilvl="0">
      <w:start w:val="1"/>
      <w:numFmt w:val="decimal"/>
      <w:lvlText w:val="%1、"/>
      <w:lvlJc w:val="left"/>
      <w:pPr>
        <w:ind w:left="84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480"/>
      </w:pPr>
    </w:lvl>
    <w:lvl w:ilvl="2">
      <w:start w:val="1"/>
      <w:numFmt w:val="decimal"/>
      <w:lvlText w:val="(%3)"/>
      <w:lvlJc w:val="lef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5DF"/>
    <w:rsid w:val="004455DF"/>
    <w:rsid w:val="006F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1CBF91"/>
  <w15:docId w15:val="{193B6B7D-588A-4845-A5E4-5856C4D5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akFUpuseVRUcPJR56L2cedxLXA==">CgMxLjAyCGguZ2pkZ3hzOAByITFMNmE1T2N0M01WS2VyRFB5US01U1JJcjd3NjdhSnIzcA==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2024-01-15T08:49:00Z</dcterms:created>
  <dcterms:modified xsi:type="dcterms:W3CDTF">2024-01-15T08:50:00Z</dcterms:modified>
</cp:coreProperties>
</file>